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jc w:val="center"/>
        <w:tblInd w:w="-318" w:type="dxa"/>
        <w:tblLook w:val="04A0" w:firstRow="1" w:lastRow="0" w:firstColumn="1" w:lastColumn="0" w:noHBand="0" w:noVBand="1"/>
      </w:tblPr>
      <w:tblGrid>
        <w:gridCol w:w="9640"/>
      </w:tblGrid>
      <w:tr w:rsidR="00B14E1F" w:rsidTr="00B14E1F">
        <w:trPr>
          <w:jc w:val="center"/>
        </w:trPr>
        <w:tc>
          <w:tcPr>
            <w:tcW w:w="9640" w:type="dxa"/>
            <w:shd w:val="clear" w:color="auto" w:fill="auto"/>
          </w:tcPr>
          <w:tbl>
            <w:tblPr>
              <w:tblW w:w="0" w:type="auto"/>
              <w:tblLook w:val="04A0" w:firstRow="1" w:lastRow="0" w:firstColumn="1" w:lastColumn="0" w:noHBand="0" w:noVBand="1"/>
            </w:tblPr>
            <w:tblGrid>
              <w:gridCol w:w="1693"/>
              <w:gridCol w:w="3011"/>
              <w:gridCol w:w="3156"/>
              <w:gridCol w:w="1564"/>
            </w:tblGrid>
            <w:tr w:rsidR="00B14E1F" w:rsidRPr="00572074" w:rsidTr="002A39B6">
              <w:trPr>
                <w:trHeight w:val="1135"/>
              </w:trPr>
              <w:tc>
                <w:tcPr>
                  <w:tcW w:w="1809" w:type="dxa"/>
                  <w:shd w:val="clear" w:color="auto" w:fill="auto"/>
                  <w:hideMark/>
                </w:tcPr>
                <w:p w:rsidR="00B14E1F" w:rsidRDefault="00B14E1F" w:rsidP="00B14E1F">
                  <w:pPr>
                    <w:spacing w:after="0"/>
                    <w:jc w:val="center"/>
                  </w:pPr>
                  <w:r>
                    <w:rPr>
                      <w:noProof/>
                      <w:lang w:eastAsia="pt-BR"/>
                    </w:rPr>
                    <w:drawing>
                      <wp:inline distT="0" distB="0" distL="0" distR="0" wp14:anchorId="78441573" wp14:editId="66F7E4C5">
                        <wp:extent cx="800100" cy="657225"/>
                        <wp:effectExtent l="0" t="0" r="0" b="9525"/>
                        <wp:docPr id="4" name="Imagem 4"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LOGOTIP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inline>
                    </w:drawing>
                  </w:r>
                </w:p>
              </w:tc>
              <w:tc>
                <w:tcPr>
                  <w:tcW w:w="3111" w:type="dxa"/>
                  <w:shd w:val="clear" w:color="auto" w:fill="auto"/>
                </w:tcPr>
                <w:p w:rsidR="00B14E1F" w:rsidRDefault="00B14E1F" w:rsidP="002A39B6">
                  <w:pPr>
                    <w:spacing w:after="0"/>
                    <w:rPr>
                      <w:noProof/>
                      <w:lang w:eastAsia="pt-BR"/>
                    </w:rPr>
                  </w:pPr>
                </w:p>
                <w:p w:rsidR="00B14E1F" w:rsidRDefault="00B14E1F" w:rsidP="002A39B6">
                  <w:pPr>
                    <w:spacing w:after="0"/>
                  </w:pPr>
                  <w:r>
                    <w:rPr>
                      <w:noProof/>
                      <w:lang w:eastAsia="pt-BR"/>
                    </w:rPr>
                    <w:drawing>
                      <wp:inline distT="0" distB="0" distL="0" distR="0" wp14:anchorId="4F104D7B" wp14:editId="3F794173">
                        <wp:extent cx="1657350" cy="4286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t xml:space="preserve">   </w:t>
                  </w:r>
                </w:p>
              </w:tc>
              <w:tc>
                <w:tcPr>
                  <w:tcW w:w="2931" w:type="dxa"/>
                  <w:shd w:val="clear" w:color="auto" w:fill="auto"/>
                </w:tcPr>
                <w:p w:rsidR="00B14E1F" w:rsidRDefault="00B14E1F" w:rsidP="002A39B6">
                  <w:pPr>
                    <w:spacing w:after="0"/>
                  </w:pPr>
                  <w:r>
                    <w:rPr>
                      <w:noProof/>
                      <w:lang w:eastAsia="pt-BR"/>
                    </w:rPr>
                    <w:drawing>
                      <wp:inline distT="0" distB="0" distL="0" distR="0" wp14:anchorId="29D0A37C" wp14:editId="441C8332">
                        <wp:extent cx="1866900" cy="5810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581025"/>
                                </a:xfrm>
                                <a:prstGeom prst="rect">
                                  <a:avLst/>
                                </a:prstGeom>
                                <a:noFill/>
                                <a:ln>
                                  <a:noFill/>
                                </a:ln>
                              </pic:spPr>
                            </pic:pic>
                          </a:graphicData>
                        </a:graphic>
                      </wp:inline>
                    </w:drawing>
                  </w:r>
                </w:p>
              </w:tc>
              <w:tc>
                <w:tcPr>
                  <w:tcW w:w="2286" w:type="dxa"/>
                  <w:shd w:val="clear" w:color="auto" w:fill="auto"/>
                </w:tcPr>
                <w:p w:rsidR="00B14E1F" w:rsidRDefault="00B14E1F" w:rsidP="002A39B6">
                  <w:pPr>
                    <w:spacing w:after="0"/>
                    <w:rPr>
                      <w:noProof/>
                      <w:lang w:eastAsia="pt-BR"/>
                    </w:rPr>
                  </w:pPr>
                </w:p>
                <w:p w:rsidR="00B14E1F" w:rsidRDefault="00B14E1F" w:rsidP="002A39B6">
                  <w:pPr>
                    <w:spacing w:after="0"/>
                    <w:rPr>
                      <w:noProof/>
                      <w:lang w:eastAsia="pt-BR"/>
                    </w:rPr>
                  </w:pPr>
                </w:p>
                <w:p w:rsidR="00B14E1F" w:rsidRDefault="00B14E1F" w:rsidP="002A39B6">
                  <w:pPr>
                    <w:spacing w:after="0"/>
                    <w:rPr>
                      <w:noProof/>
                      <w:lang w:eastAsia="pt-BR"/>
                    </w:rPr>
                  </w:pPr>
                </w:p>
                <w:p w:rsidR="00B14E1F" w:rsidRDefault="00B14E1F" w:rsidP="002A39B6">
                  <w:pPr>
                    <w:spacing w:after="0"/>
                  </w:pPr>
                </w:p>
              </w:tc>
            </w:tr>
          </w:tbl>
          <w:p w:rsidR="00B14E1F" w:rsidRDefault="00B14E1F" w:rsidP="002A39B6">
            <w:pPr>
              <w:spacing w:after="0"/>
            </w:pPr>
          </w:p>
        </w:tc>
      </w:tr>
    </w:tbl>
    <w:p w:rsidR="00B14E1F" w:rsidRDefault="00B14E1F" w:rsidP="00B14E1F">
      <w:pPr>
        <w:shd w:val="clear" w:color="auto" w:fill="FFFFFF"/>
        <w:spacing w:after="0"/>
        <w:ind w:left="1843" w:hanging="1843"/>
        <w:rPr>
          <w:rFonts w:ascii="Arial" w:hAnsi="Arial" w:cs="Arial"/>
          <w:b/>
          <w:bCs/>
          <w:sz w:val="24"/>
          <w:szCs w:val="24"/>
        </w:rPr>
      </w:pPr>
    </w:p>
    <w:p w:rsidR="009159D3" w:rsidRDefault="009159D3" w:rsidP="009159D3">
      <w:pPr>
        <w:spacing w:after="0"/>
        <w:jc w:val="right"/>
        <w:rPr>
          <w:rFonts w:ascii="Arial" w:hAnsi="Arial" w:cs="Arial"/>
          <w:b/>
          <w:sz w:val="20"/>
          <w:szCs w:val="20"/>
          <w:lang w:eastAsia="pt-BR"/>
        </w:rPr>
      </w:pPr>
      <w:r>
        <w:rPr>
          <w:rFonts w:ascii="Arial" w:hAnsi="Arial" w:cs="Arial"/>
          <w:b/>
          <w:sz w:val="24"/>
          <w:szCs w:val="24"/>
        </w:rPr>
        <w:t>OBSERVAÇÕES DAS VIAGENS DE ACOMPANHAMENTO E MONITORAMENTO DO PROGRAMA ESTADUAL DE CORREÇÃO DA ACIDEZ DO SOLO - PECS</w:t>
      </w:r>
      <w:r>
        <w:rPr>
          <w:rFonts w:ascii="Arial" w:hAnsi="Arial" w:cs="Arial"/>
          <w:b/>
          <w:sz w:val="20"/>
          <w:szCs w:val="20"/>
        </w:rPr>
        <w:t xml:space="preserve">.                                                                                                                                                    (NT </w:t>
      </w:r>
      <w:proofErr w:type="spellStart"/>
      <w:proofErr w:type="gramStart"/>
      <w:r>
        <w:rPr>
          <w:rFonts w:ascii="Arial" w:hAnsi="Arial" w:cs="Arial"/>
          <w:b/>
          <w:sz w:val="20"/>
          <w:szCs w:val="20"/>
        </w:rPr>
        <w:t>MonitPECS</w:t>
      </w:r>
      <w:proofErr w:type="spellEnd"/>
      <w:proofErr w:type="gramEnd"/>
      <w:r>
        <w:rPr>
          <w:rFonts w:ascii="Arial" w:hAnsi="Arial" w:cs="Arial"/>
          <w:b/>
          <w:sz w:val="20"/>
          <w:szCs w:val="20"/>
        </w:rPr>
        <w:t xml:space="preserve"> 03)                 </w:t>
      </w:r>
    </w:p>
    <w:p w:rsidR="009159D3" w:rsidRDefault="009159D3" w:rsidP="009159D3">
      <w:pPr>
        <w:shd w:val="clear" w:color="auto" w:fill="C2D69B"/>
        <w:spacing w:after="0"/>
        <w:ind w:left="1843" w:hanging="1843"/>
        <w:rPr>
          <w:rFonts w:ascii="Arial" w:hAnsi="Arial" w:cs="Arial"/>
          <w:b/>
          <w:bCs/>
          <w:sz w:val="24"/>
          <w:szCs w:val="24"/>
        </w:rPr>
      </w:pPr>
      <w:r>
        <w:rPr>
          <w:rFonts w:ascii="Arial" w:hAnsi="Arial" w:cs="Arial"/>
          <w:b/>
          <w:bCs/>
          <w:sz w:val="24"/>
          <w:szCs w:val="24"/>
        </w:rPr>
        <w:t xml:space="preserve"> </w:t>
      </w:r>
    </w:p>
    <w:p w:rsidR="009159D3" w:rsidRDefault="009159D3" w:rsidP="00B14E1F">
      <w:pPr>
        <w:shd w:val="clear" w:color="auto" w:fill="FFFFFF"/>
        <w:spacing w:after="0"/>
        <w:ind w:left="1843" w:hanging="1843"/>
        <w:rPr>
          <w:rFonts w:ascii="Arial" w:hAnsi="Arial" w:cs="Arial"/>
          <w:b/>
          <w:bCs/>
          <w:sz w:val="24"/>
          <w:szCs w:val="24"/>
        </w:rPr>
      </w:pPr>
    </w:p>
    <w:p w:rsidR="009159D3" w:rsidRDefault="009159D3" w:rsidP="009159D3">
      <w:pPr>
        <w:shd w:val="clear" w:color="auto" w:fill="FFFFFF"/>
        <w:spacing w:after="0"/>
        <w:jc w:val="center"/>
        <w:rPr>
          <w:rFonts w:ascii="Arial" w:hAnsi="Arial" w:cs="Arial"/>
          <w:b/>
          <w:bCs/>
          <w:sz w:val="24"/>
          <w:szCs w:val="24"/>
        </w:rPr>
      </w:pPr>
      <w:r w:rsidRPr="009159D3">
        <w:rPr>
          <w:rFonts w:ascii="Arial" w:hAnsi="Arial" w:cs="Arial"/>
          <w:b/>
          <w:bCs/>
          <w:sz w:val="24"/>
          <w:szCs w:val="24"/>
          <w:u w:val="single"/>
        </w:rPr>
        <w:t>Monitorament</w:t>
      </w:r>
      <w:r w:rsidR="00C2114B">
        <w:rPr>
          <w:rFonts w:ascii="Arial" w:hAnsi="Arial" w:cs="Arial"/>
          <w:b/>
          <w:bCs/>
          <w:sz w:val="24"/>
          <w:szCs w:val="24"/>
        </w:rPr>
        <w:t>o da Qualidade do Calcário D</w:t>
      </w:r>
      <w:r>
        <w:rPr>
          <w:rFonts w:ascii="Arial" w:hAnsi="Arial" w:cs="Arial"/>
          <w:b/>
          <w:bCs/>
          <w:sz w:val="24"/>
          <w:szCs w:val="24"/>
        </w:rPr>
        <w:t>istribuído p</w:t>
      </w:r>
      <w:r w:rsidR="00C2114B">
        <w:rPr>
          <w:rFonts w:ascii="Arial" w:hAnsi="Arial" w:cs="Arial"/>
          <w:b/>
          <w:bCs/>
          <w:sz w:val="24"/>
          <w:szCs w:val="24"/>
          <w:u w:val="single"/>
        </w:rPr>
        <w:t>elo P</w:t>
      </w:r>
      <w:r w:rsidRPr="009159D3">
        <w:rPr>
          <w:rFonts w:ascii="Arial" w:hAnsi="Arial" w:cs="Arial"/>
          <w:b/>
          <w:bCs/>
          <w:sz w:val="24"/>
          <w:szCs w:val="24"/>
          <w:u w:val="single"/>
        </w:rPr>
        <w:t>rograma</w:t>
      </w:r>
    </w:p>
    <w:p w:rsidR="00B14E1F" w:rsidRPr="009159D3" w:rsidRDefault="00C2114B" w:rsidP="009159D3">
      <w:pPr>
        <w:shd w:val="clear" w:color="auto" w:fill="FFFFFF"/>
        <w:spacing w:after="0"/>
        <w:jc w:val="center"/>
        <w:rPr>
          <w:rFonts w:ascii="Arial" w:hAnsi="Arial" w:cs="Arial"/>
          <w:b/>
          <w:sz w:val="20"/>
          <w:szCs w:val="20"/>
          <w:u w:val="single"/>
          <w:lang w:eastAsia="pt-BR"/>
        </w:rPr>
      </w:pPr>
      <w:r>
        <w:rPr>
          <w:rFonts w:ascii="Arial" w:hAnsi="Arial" w:cs="Arial"/>
          <w:b/>
          <w:bCs/>
          <w:sz w:val="24"/>
          <w:szCs w:val="24"/>
          <w:u w:val="single"/>
        </w:rPr>
        <w:t>E</w:t>
      </w:r>
      <w:r w:rsidR="009159D3" w:rsidRPr="009159D3">
        <w:rPr>
          <w:rFonts w:ascii="Arial" w:hAnsi="Arial" w:cs="Arial"/>
          <w:b/>
          <w:bCs/>
          <w:sz w:val="24"/>
          <w:szCs w:val="24"/>
          <w:u w:val="single"/>
        </w:rPr>
        <w:t>stad</w:t>
      </w:r>
      <w:r>
        <w:rPr>
          <w:rFonts w:ascii="Arial" w:hAnsi="Arial" w:cs="Arial"/>
          <w:b/>
          <w:bCs/>
          <w:sz w:val="24"/>
          <w:szCs w:val="24"/>
          <w:u w:val="single"/>
        </w:rPr>
        <w:t>ual de C</w:t>
      </w:r>
      <w:r w:rsidR="009159D3" w:rsidRPr="009159D3">
        <w:rPr>
          <w:rFonts w:ascii="Arial" w:hAnsi="Arial" w:cs="Arial"/>
          <w:b/>
          <w:bCs/>
          <w:sz w:val="24"/>
          <w:szCs w:val="24"/>
          <w:u w:val="single"/>
        </w:rPr>
        <w:t xml:space="preserve">orreção da </w:t>
      </w:r>
      <w:r>
        <w:rPr>
          <w:rFonts w:ascii="Arial" w:hAnsi="Arial" w:cs="Arial"/>
          <w:b/>
          <w:bCs/>
          <w:sz w:val="24"/>
          <w:szCs w:val="24"/>
          <w:u w:val="single"/>
        </w:rPr>
        <w:t>Acidez do S</w:t>
      </w:r>
      <w:bookmarkStart w:id="0" w:name="_GoBack"/>
      <w:bookmarkEnd w:id="0"/>
      <w:r w:rsidR="009159D3" w:rsidRPr="009159D3">
        <w:rPr>
          <w:rFonts w:ascii="Arial" w:hAnsi="Arial" w:cs="Arial"/>
          <w:b/>
          <w:bCs/>
          <w:sz w:val="24"/>
          <w:szCs w:val="24"/>
          <w:u w:val="single"/>
        </w:rPr>
        <w:t>olo</w:t>
      </w:r>
    </w:p>
    <w:p w:rsidR="00B14E1F" w:rsidRDefault="00B14E1F" w:rsidP="008E3D7E">
      <w:pPr>
        <w:jc w:val="both"/>
      </w:pPr>
    </w:p>
    <w:p w:rsidR="00D536D2" w:rsidRDefault="00055BBA" w:rsidP="008E3D7E">
      <w:pPr>
        <w:jc w:val="both"/>
      </w:pPr>
      <w:r>
        <w:t xml:space="preserve">Como ação de monitoramento do Programa Estadual de Correção da Acidez do Solo, estamos realizando análises de qualidade do calcário distribuído nos municípios pelo Programa, no Laboratório de Química Agrícola da Fepagro.  Os primeiros resultados </w:t>
      </w:r>
      <w:r w:rsidR="00A00B09">
        <w:t>apontam problemas de qualidade, com índices de PRNT (Poder Relativo de Neutralização Total) muito aquém do exigido no</w:t>
      </w:r>
      <w:r w:rsidR="009F05D3">
        <w:t xml:space="preserve"> </w:t>
      </w:r>
      <w:r w:rsidR="00A00B09">
        <w:t>Manual Operativo do Programa</w:t>
      </w:r>
      <w:r w:rsidR="00D57CC8">
        <w:t xml:space="preserve">, que é de </w:t>
      </w:r>
      <w:r w:rsidR="00A00B09">
        <w:t xml:space="preserve">70%. </w:t>
      </w:r>
      <w:r w:rsidR="00701E42">
        <w:t xml:space="preserve">Em 16 amostras coletadas e analisadas, </w:t>
      </w:r>
      <w:r w:rsidR="009F05D3">
        <w:t>obtiveram-se</w:t>
      </w:r>
      <w:r w:rsidR="00701E42">
        <w:t xml:space="preserve"> resultados variando </w:t>
      </w:r>
      <w:r w:rsidR="005B7239">
        <w:t>d</w:t>
      </w:r>
      <w:r w:rsidR="00701E42">
        <w:t xml:space="preserve">e 41 a 71% de PRNT, com a seguinte distribuição: </w:t>
      </w:r>
    </w:p>
    <w:p w:rsidR="00701E42" w:rsidRDefault="00701E42" w:rsidP="008E3D7E">
      <w:pPr>
        <w:spacing w:after="0"/>
        <w:jc w:val="both"/>
      </w:pPr>
      <w:r>
        <w:tab/>
        <w:t xml:space="preserve">- 31,25% das amostras com PRNT entre 65 e 71% </w:t>
      </w:r>
    </w:p>
    <w:p w:rsidR="00701E42" w:rsidRDefault="00701E42" w:rsidP="008E3D7E">
      <w:pPr>
        <w:spacing w:after="0"/>
        <w:jc w:val="both"/>
      </w:pPr>
      <w:r>
        <w:t xml:space="preserve">                 (apenas uma amostra acima de 70%)</w:t>
      </w:r>
    </w:p>
    <w:p w:rsidR="00701E42" w:rsidRDefault="00701E42" w:rsidP="008E3D7E">
      <w:pPr>
        <w:spacing w:after="0"/>
        <w:jc w:val="both"/>
      </w:pPr>
      <w:r>
        <w:tab/>
        <w:t>- 25,00% das amostras com PRNT entre 50 e 65%</w:t>
      </w:r>
    </w:p>
    <w:p w:rsidR="00701E42" w:rsidRDefault="00701E42" w:rsidP="008E3D7E">
      <w:pPr>
        <w:spacing w:after="0"/>
        <w:jc w:val="both"/>
      </w:pPr>
      <w:r>
        <w:tab/>
        <w:t>- 31,25% das amostra</w:t>
      </w:r>
      <w:r w:rsidR="009F05D3">
        <w:t>s</w:t>
      </w:r>
      <w:r>
        <w:t xml:space="preserve"> com PRNT entre 45 e 50%</w:t>
      </w:r>
    </w:p>
    <w:p w:rsidR="00701E42" w:rsidRDefault="00701E42" w:rsidP="008E3D7E">
      <w:pPr>
        <w:spacing w:after="0"/>
        <w:jc w:val="both"/>
      </w:pPr>
      <w:r>
        <w:tab/>
        <w:t xml:space="preserve">- 12,50% das amostras com PRNT abaixo de 45% </w:t>
      </w:r>
    </w:p>
    <w:p w:rsidR="00701E42" w:rsidRPr="00701E42" w:rsidRDefault="00701E42" w:rsidP="008E3D7E">
      <w:pPr>
        <w:spacing w:after="0"/>
        <w:jc w:val="both"/>
        <w:rPr>
          <w:b/>
        </w:rPr>
      </w:pPr>
      <w:r>
        <w:tab/>
      </w:r>
      <w:r w:rsidRPr="00701E42">
        <w:rPr>
          <w:b/>
        </w:rPr>
        <w:t xml:space="preserve">   (não classificável como corretivo da acidez do solo)</w:t>
      </w:r>
    </w:p>
    <w:p w:rsidR="00701E42" w:rsidRDefault="00701E42" w:rsidP="008E3D7E">
      <w:pPr>
        <w:spacing w:after="0"/>
        <w:jc w:val="both"/>
      </w:pPr>
      <w:r>
        <w:t xml:space="preserve">   </w:t>
      </w:r>
    </w:p>
    <w:p w:rsidR="008A0A4B" w:rsidRDefault="00A00B09" w:rsidP="008E3D7E">
      <w:pPr>
        <w:jc w:val="both"/>
      </w:pPr>
      <w:r>
        <w:t xml:space="preserve">Para que um calcário com PRNT de 50% faça o mesmo efeito corretivo da acidez do solo que um calcário com PRNT de 70% é necessário que a dose de aplicação seja aumentada em </w:t>
      </w:r>
      <w:r w:rsidR="00D57CC8">
        <w:t>40%. Em outras palavras, se a</w:t>
      </w:r>
      <w:r w:rsidR="00B74607">
        <w:t xml:space="preserve"> recomendação para 70% de PRNT é</w:t>
      </w:r>
      <w:r w:rsidR="00D57CC8">
        <w:t xml:space="preserve"> </w:t>
      </w:r>
      <w:proofErr w:type="gramStart"/>
      <w:r w:rsidR="00D57CC8">
        <w:t>3</w:t>
      </w:r>
      <w:proofErr w:type="gramEnd"/>
      <w:r w:rsidR="00D57CC8">
        <w:t xml:space="preserve"> t/ha, para 50% de PRNT será de 4,2 t/ha. </w:t>
      </w:r>
      <w:r w:rsidR="008755B7">
        <w:t xml:space="preserve">O preço desse produto deveria </w:t>
      </w:r>
      <w:proofErr w:type="gramStart"/>
      <w:r w:rsidR="008755B7">
        <w:t>ser,</w:t>
      </w:r>
      <w:proofErr w:type="gramEnd"/>
      <w:r w:rsidR="008755B7">
        <w:t xml:space="preserve"> no mínimo, proporcionalmente menor. Mesmo assim, a menor qualidade do produto ainda traria prejuízo significativo ao consumidor devido ao aumento no custo do transporte e da aplicação dessa quantidade a mais adquirida com o mesmo desembolso.   </w:t>
      </w:r>
    </w:p>
    <w:p w:rsidR="00884465" w:rsidRDefault="009F05D3" w:rsidP="008E3D7E">
      <w:pPr>
        <w:jc w:val="both"/>
      </w:pPr>
      <w:r>
        <w:t>As</w:t>
      </w:r>
      <w:r w:rsidR="00884465">
        <w:t xml:space="preserve"> Prefeituras e/ou agricultores beneficiários do Programa que se sentirem lesados </w:t>
      </w:r>
      <w:r>
        <w:t>devem acionar as</w:t>
      </w:r>
      <w:proofErr w:type="gramStart"/>
      <w:r>
        <w:t xml:space="preserve"> </w:t>
      </w:r>
      <w:r w:rsidR="00884465">
        <w:t xml:space="preserve"> </w:t>
      </w:r>
      <w:proofErr w:type="gramEnd"/>
      <w:r w:rsidR="00884465">
        <w:t>empresas</w:t>
      </w:r>
      <w:r w:rsidR="00B74607">
        <w:t xml:space="preserve"> solicitando </w:t>
      </w:r>
      <w:r w:rsidR="00884465">
        <w:t>uma compensação através do fornecimento de uma</w:t>
      </w:r>
      <w:r>
        <w:t xml:space="preserve"> </w:t>
      </w:r>
      <w:r w:rsidR="00884465">
        <w:t>quantidade complementar de calcário (mais o frete)</w:t>
      </w:r>
      <w:r>
        <w:t xml:space="preserve"> </w:t>
      </w:r>
      <w:r w:rsidR="00884465">
        <w:t xml:space="preserve">que satisfaça à exigência mínima de 70% de PRNT.  No caso do exemplo acima (50% de PRNT) seriam mais 40% do Produto já recebido. </w:t>
      </w:r>
    </w:p>
    <w:p w:rsidR="000B26EF" w:rsidRDefault="00713F4A" w:rsidP="008E3D7E">
      <w:pPr>
        <w:jc w:val="both"/>
      </w:pPr>
      <w:r>
        <w:t xml:space="preserve">Na </w:t>
      </w:r>
      <w:r w:rsidR="00007F4B">
        <w:t xml:space="preserve">análise da </w:t>
      </w:r>
      <w:r>
        <w:t>Prestação de Contas dos Municípios será observado o enquadramento do calcário fornecido nos parâmetros exigidos.</w:t>
      </w:r>
      <w:r w:rsidR="005E657A" w:rsidRPr="005E657A">
        <w:t xml:space="preserve"> </w:t>
      </w:r>
      <w:r w:rsidR="005E657A" w:rsidRPr="008755B7">
        <w:rPr>
          <w:b/>
        </w:rPr>
        <w:t xml:space="preserve">O não cumprimento dessa </w:t>
      </w:r>
      <w:r w:rsidR="009F05D3">
        <w:rPr>
          <w:b/>
        </w:rPr>
        <w:t>exigência</w:t>
      </w:r>
      <w:r w:rsidR="005E657A" w:rsidRPr="008755B7">
        <w:rPr>
          <w:b/>
        </w:rPr>
        <w:t xml:space="preserve"> poderá resultar na não aprovação da P</w:t>
      </w:r>
      <w:r w:rsidR="008755B7">
        <w:rPr>
          <w:b/>
        </w:rPr>
        <w:t xml:space="preserve">restação de </w:t>
      </w:r>
      <w:r w:rsidR="005E657A" w:rsidRPr="008755B7">
        <w:rPr>
          <w:b/>
        </w:rPr>
        <w:t>C</w:t>
      </w:r>
      <w:r w:rsidR="008755B7">
        <w:rPr>
          <w:b/>
        </w:rPr>
        <w:t>ontas</w:t>
      </w:r>
      <w:r w:rsidR="005E657A" w:rsidRPr="008755B7">
        <w:rPr>
          <w:b/>
        </w:rPr>
        <w:t>.</w:t>
      </w:r>
      <w:r w:rsidR="005E657A">
        <w:t xml:space="preserve"> </w:t>
      </w:r>
      <w:r>
        <w:t xml:space="preserve"> </w:t>
      </w:r>
      <w:r w:rsidR="00007F4B">
        <w:t xml:space="preserve">Para o </w:t>
      </w:r>
      <w:r>
        <w:t xml:space="preserve">produto </w:t>
      </w:r>
      <w:r w:rsidR="008755B7">
        <w:t>já entregue</w:t>
      </w:r>
      <w:r>
        <w:t>,</w:t>
      </w:r>
      <w:r w:rsidR="00007F4B">
        <w:t xml:space="preserve"> será verificad</w:t>
      </w:r>
      <w:r w:rsidR="004C35A9">
        <w:t xml:space="preserve">o se a exigência do PRNT mínimo consta do </w:t>
      </w:r>
      <w:r>
        <w:t xml:space="preserve">processo licitatório </w:t>
      </w:r>
      <w:r w:rsidR="008755B7">
        <w:t xml:space="preserve">encaminhado pela Prefeitura </w:t>
      </w:r>
      <w:r w:rsidR="00B74607">
        <w:t>e/</w:t>
      </w:r>
      <w:r w:rsidR="004C35A9">
        <w:t>o</w:t>
      </w:r>
      <w:r>
        <w:t xml:space="preserve">u </w:t>
      </w:r>
      <w:r w:rsidR="008755B7">
        <w:t>da</w:t>
      </w:r>
      <w:r w:rsidR="004C35A9">
        <w:t xml:space="preserve"> Nota Fiscal. Para as novas aquisições solicita-se que os municípios </w:t>
      </w:r>
      <w:r w:rsidR="004C35A9" w:rsidRPr="00B74607">
        <w:rPr>
          <w:b/>
        </w:rPr>
        <w:t>exijam essa garantia</w:t>
      </w:r>
      <w:r w:rsidR="004C35A9">
        <w:t xml:space="preserve"> e </w:t>
      </w:r>
      <w:r w:rsidR="00884465">
        <w:t xml:space="preserve">quando receberem o calcário, por ocasião da descarga, coletem </w:t>
      </w:r>
      <w:r w:rsidR="004C35A9">
        <w:t>duas amostras</w:t>
      </w:r>
      <w:r w:rsidR="00884465">
        <w:t xml:space="preserve"> de</w:t>
      </w:r>
      <w:r w:rsidR="009F05D3">
        <w:t xml:space="preserve"> ½ </w:t>
      </w:r>
      <w:r w:rsidR="004C35A9">
        <w:t>kg cada</w:t>
      </w:r>
      <w:r w:rsidR="00B74607">
        <w:t>. E</w:t>
      </w:r>
      <w:r w:rsidR="004C35A9">
        <w:t>nviem uma de</w:t>
      </w:r>
      <w:r w:rsidR="002E02AA">
        <w:t>las</w:t>
      </w:r>
      <w:r w:rsidR="004C35A9">
        <w:t xml:space="preserve"> à </w:t>
      </w:r>
      <w:proofErr w:type="spellStart"/>
      <w:r w:rsidR="004C35A9">
        <w:t>Fepagro</w:t>
      </w:r>
      <w:proofErr w:type="spellEnd"/>
      <w:r w:rsidR="00884465">
        <w:t xml:space="preserve"> para análise</w:t>
      </w:r>
      <w:r w:rsidR="00B74607">
        <w:t xml:space="preserve"> e guardem a </w:t>
      </w:r>
      <w:r w:rsidR="00884465">
        <w:t xml:space="preserve">outra </w:t>
      </w:r>
      <w:r w:rsidR="00B74607">
        <w:t xml:space="preserve">para </w:t>
      </w:r>
      <w:r w:rsidR="00884465">
        <w:t>uma eventual</w:t>
      </w:r>
      <w:r w:rsidR="005E657A">
        <w:t xml:space="preserve"> futura análise </w:t>
      </w:r>
      <w:r w:rsidR="00884465">
        <w:t xml:space="preserve">e verificação </w:t>
      </w:r>
      <w:r w:rsidR="005E657A">
        <w:t xml:space="preserve">judicial. A amostra enviada à Fepagro deverá ser acompanhada da informação da empresa mineradora que forneceu o produto.   </w:t>
      </w:r>
    </w:p>
    <w:p w:rsidR="008E3D7E" w:rsidRDefault="00744308" w:rsidP="00C21253">
      <w:pPr>
        <w:jc w:val="both"/>
      </w:pPr>
      <w:r>
        <w:lastRenderedPageBreak/>
        <w:t>Lembra</w:t>
      </w:r>
      <w:r w:rsidR="008E3D7E">
        <w:t>mos que os principais lesados com o recebimento de produtos com qualidade abaixo da especificada</w:t>
      </w:r>
      <w:r w:rsidR="009F05D3">
        <w:t xml:space="preserve"> </w:t>
      </w:r>
      <w:r>
        <w:t xml:space="preserve">são o produtor </w:t>
      </w:r>
      <w:r w:rsidR="008E3D7E">
        <w:t xml:space="preserve">e a sociedade gaúcha. O primeiro, porque </w:t>
      </w:r>
      <w:r>
        <w:t xml:space="preserve">não </w:t>
      </w:r>
      <w:r w:rsidR="008E3D7E">
        <w:t>ob</w:t>
      </w:r>
      <w:r>
        <w:t>terá o</w:t>
      </w:r>
      <w:r w:rsidR="008E3D7E">
        <w:t>s</w:t>
      </w:r>
      <w:r>
        <w:t xml:space="preserve"> resultado</w:t>
      </w:r>
      <w:r w:rsidR="008E3D7E">
        <w:t xml:space="preserve">s </w:t>
      </w:r>
      <w:r>
        <w:t>esperado</w:t>
      </w:r>
      <w:r w:rsidR="008E3D7E">
        <w:t>s</w:t>
      </w:r>
      <w:r>
        <w:t xml:space="preserve"> em sua lavoura</w:t>
      </w:r>
      <w:r w:rsidR="008E3D7E">
        <w:t xml:space="preserve">. A sociedade porque se trata do investimento de recursos públicos, que não podem ser desperdiçados. </w:t>
      </w:r>
    </w:p>
    <w:p w:rsidR="008E3D7E" w:rsidRDefault="008E3D7E" w:rsidP="00C21253">
      <w:pPr>
        <w:spacing w:after="0" w:line="240" w:lineRule="auto"/>
        <w:jc w:val="right"/>
      </w:pPr>
      <w:r>
        <w:t xml:space="preserve">A Coordenação do </w:t>
      </w:r>
    </w:p>
    <w:p w:rsidR="008E3D7E" w:rsidRDefault="008E3D7E" w:rsidP="00C21253">
      <w:pPr>
        <w:spacing w:after="0" w:line="240" w:lineRule="auto"/>
        <w:jc w:val="right"/>
      </w:pPr>
      <w:r>
        <w:t>Programa Estadual de Correção da Acidez do solo-PECS</w:t>
      </w:r>
    </w:p>
    <w:sectPr w:rsidR="008E3D7E" w:rsidSect="009159D3">
      <w:pgSz w:w="11906" w:h="16838"/>
      <w:pgMar w:top="567" w:right="737" w:bottom="851"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6D2"/>
    <w:rsid w:val="00007F4B"/>
    <w:rsid w:val="00055BBA"/>
    <w:rsid w:val="000B26EF"/>
    <w:rsid w:val="00256CCB"/>
    <w:rsid w:val="002E02AA"/>
    <w:rsid w:val="004407F4"/>
    <w:rsid w:val="004C35A9"/>
    <w:rsid w:val="005B7239"/>
    <w:rsid w:val="005E657A"/>
    <w:rsid w:val="00630E24"/>
    <w:rsid w:val="00701E42"/>
    <w:rsid w:val="00710331"/>
    <w:rsid w:val="00713F4A"/>
    <w:rsid w:val="00744308"/>
    <w:rsid w:val="008447AB"/>
    <w:rsid w:val="008755B7"/>
    <w:rsid w:val="00884465"/>
    <w:rsid w:val="008906F2"/>
    <w:rsid w:val="008A0A4B"/>
    <w:rsid w:val="008E3D7E"/>
    <w:rsid w:val="009159D3"/>
    <w:rsid w:val="009F05D3"/>
    <w:rsid w:val="00A00B09"/>
    <w:rsid w:val="00A62AAD"/>
    <w:rsid w:val="00B14E1F"/>
    <w:rsid w:val="00B74607"/>
    <w:rsid w:val="00C2114B"/>
    <w:rsid w:val="00C21253"/>
    <w:rsid w:val="00C758B1"/>
    <w:rsid w:val="00D536D2"/>
    <w:rsid w:val="00D57C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14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4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14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4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6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517</Words>
  <Characters>2798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Rivaldo Albino Dhein</dc:creator>
  <cp:lastModifiedBy>Rivaldo Albino Dhein</cp:lastModifiedBy>
  <cp:revision>5</cp:revision>
  <dcterms:created xsi:type="dcterms:W3CDTF">2014-01-21T12:07:00Z</dcterms:created>
  <dcterms:modified xsi:type="dcterms:W3CDTF">2014-09-19T12:41:00Z</dcterms:modified>
</cp:coreProperties>
</file>